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4140"/>
        <w:gridCol w:w="3335"/>
      </w:tblGrid>
      <w:tr w:rsidR="00B06FA3" w14:paraId="24BD4624" w14:textId="77777777" w:rsidTr="00F870D2">
        <w:tc>
          <w:tcPr>
            <w:tcW w:w="2610" w:type="dxa"/>
          </w:tcPr>
          <w:p w14:paraId="26B73681" w14:textId="00705F2E" w:rsidR="009C63E8" w:rsidRDefault="00F870D2">
            <w:pPr>
              <w:spacing w:after="0" w:line="259" w:lineRule="auto"/>
              <w:ind w:left="0" w:firstLine="0"/>
              <w:jc w:val="left"/>
              <w:rPr>
                <w:b/>
                <w:sz w:val="26"/>
              </w:rPr>
            </w:pPr>
            <w:r>
              <w:rPr>
                <w:rFonts w:eastAsia="MS Mincho"/>
                <w:noProof/>
                <w:sz w:val="27"/>
                <w:szCs w:val="27"/>
                <w:lang w:eastAsia="ja-JP"/>
              </w:rPr>
              <w:drawing>
                <wp:inline distT="0" distB="0" distL="0" distR="0" wp14:anchorId="720013B1" wp14:editId="08005F0C">
                  <wp:extent cx="1340079" cy="1340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995" cy="1352995"/>
                          </a:xfrm>
                          <a:prstGeom prst="rect">
                            <a:avLst/>
                          </a:prstGeom>
                          <a:noFill/>
                          <a:ln>
                            <a:noFill/>
                          </a:ln>
                        </pic:spPr>
                      </pic:pic>
                    </a:graphicData>
                  </a:graphic>
                </wp:inline>
              </w:drawing>
            </w:r>
          </w:p>
        </w:tc>
        <w:tc>
          <w:tcPr>
            <w:tcW w:w="4140" w:type="dxa"/>
          </w:tcPr>
          <w:p w14:paraId="5DB2CA01" w14:textId="2EE3B2EE" w:rsidR="009C63E8" w:rsidRDefault="009C63E8">
            <w:pPr>
              <w:spacing w:after="0" w:line="259" w:lineRule="auto"/>
              <w:ind w:left="0" w:firstLine="0"/>
              <w:jc w:val="left"/>
              <w:rPr>
                <w:b/>
                <w:sz w:val="26"/>
              </w:rPr>
            </w:pPr>
            <w:r>
              <w:rPr>
                <w:noProof/>
                <w:lang w:eastAsia="ja-JP"/>
              </w:rPr>
              <w:drawing>
                <wp:inline distT="0" distB="0" distL="0" distR="0" wp14:anchorId="075094FA" wp14:editId="396FF1E5">
                  <wp:extent cx="2534285" cy="65515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2591522" cy="669950"/>
                          </a:xfrm>
                          <a:prstGeom prst="rect">
                            <a:avLst/>
                          </a:prstGeom>
                        </pic:spPr>
                      </pic:pic>
                    </a:graphicData>
                  </a:graphic>
                </wp:inline>
              </w:drawing>
            </w:r>
          </w:p>
        </w:tc>
        <w:tc>
          <w:tcPr>
            <w:tcW w:w="3335" w:type="dxa"/>
          </w:tcPr>
          <w:p w14:paraId="2EFC6BB8" w14:textId="311E8DE9" w:rsidR="009C63E8" w:rsidRDefault="00F870D2">
            <w:pPr>
              <w:spacing w:after="0" w:line="259" w:lineRule="auto"/>
              <w:ind w:left="0" w:firstLine="0"/>
              <w:jc w:val="left"/>
              <w:rPr>
                <w:b/>
                <w:sz w:val="26"/>
              </w:rPr>
            </w:pPr>
            <w:r>
              <w:rPr>
                <w:noProof/>
                <w:lang w:eastAsia="ja-JP"/>
              </w:rPr>
              <w:drawing>
                <wp:inline distT="0" distB="0" distL="0" distR="0" wp14:anchorId="7C36EE1F" wp14:editId="625A0A3B">
                  <wp:extent cx="1873714" cy="135019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6359" cy="1380929"/>
                          </a:xfrm>
                          <a:prstGeom prst="rect">
                            <a:avLst/>
                          </a:prstGeom>
                          <a:noFill/>
                          <a:ln>
                            <a:noFill/>
                          </a:ln>
                        </pic:spPr>
                      </pic:pic>
                    </a:graphicData>
                  </a:graphic>
                </wp:inline>
              </w:drawing>
            </w:r>
          </w:p>
        </w:tc>
      </w:tr>
      <w:tr w:rsidR="00B06FA3" w14:paraId="25C6307D" w14:textId="77777777" w:rsidTr="00F870D2">
        <w:tc>
          <w:tcPr>
            <w:tcW w:w="2610" w:type="dxa"/>
          </w:tcPr>
          <w:p w14:paraId="4D5F9429" w14:textId="77777777" w:rsidR="009C63E8" w:rsidRDefault="009C63E8">
            <w:pPr>
              <w:spacing w:after="0" w:line="259" w:lineRule="auto"/>
              <w:ind w:left="0" w:firstLine="0"/>
              <w:jc w:val="left"/>
              <w:rPr>
                <w:b/>
                <w:sz w:val="26"/>
              </w:rPr>
            </w:pPr>
          </w:p>
        </w:tc>
        <w:tc>
          <w:tcPr>
            <w:tcW w:w="4140" w:type="dxa"/>
          </w:tcPr>
          <w:p w14:paraId="66C3CC53" w14:textId="77777777" w:rsidR="009C63E8" w:rsidRDefault="009C63E8">
            <w:pPr>
              <w:spacing w:after="0" w:line="259" w:lineRule="auto"/>
              <w:ind w:left="0" w:firstLine="0"/>
              <w:jc w:val="left"/>
              <w:rPr>
                <w:noProof/>
              </w:rPr>
            </w:pPr>
          </w:p>
        </w:tc>
        <w:tc>
          <w:tcPr>
            <w:tcW w:w="3335" w:type="dxa"/>
          </w:tcPr>
          <w:p w14:paraId="0082676B" w14:textId="77777777" w:rsidR="009C63E8" w:rsidRDefault="009C63E8">
            <w:pPr>
              <w:spacing w:after="0" w:line="259" w:lineRule="auto"/>
              <w:ind w:left="0" w:firstLine="0"/>
              <w:jc w:val="left"/>
              <w:rPr>
                <w:rFonts w:eastAsia="MS Mincho"/>
                <w:noProof/>
                <w:sz w:val="27"/>
                <w:szCs w:val="27"/>
              </w:rPr>
            </w:pPr>
          </w:p>
        </w:tc>
      </w:tr>
      <w:tr w:rsidR="00B06FA3" w14:paraId="3F88718E" w14:textId="77777777" w:rsidTr="00F870D2">
        <w:tc>
          <w:tcPr>
            <w:tcW w:w="10085" w:type="dxa"/>
            <w:gridSpan w:val="3"/>
          </w:tcPr>
          <w:p w14:paraId="78E9E1CD" w14:textId="66B79C89" w:rsidR="009C63E8" w:rsidRDefault="009C63E8">
            <w:pPr>
              <w:spacing w:after="0" w:line="259" w:lineRule="auto"/>
              <w:ind w:left="0" w:firstLine="0"/>
              <w:jc w:val="left"/>
              <w:rPr>
                <w:rFonts w:eastAsia="MS Mincho"/>
                <w:noProof/>
                <w:sz w:val="27"/>
                <w:szCs w:val="27"/>
              </w:rPr>
            </w:pPr>
          </w:p>
        </w:tc>
      </w:tr>
    </w:tbl>
    <w:p w14:paraId="0B231773" w14:textId="7AA3838A" w:rsidR="009C63E8" w:rsidRPr="009C63E8" w:rsidRDefault="009C63E8" w:rsidP="00B06FA3">
      <w:pPr>
        <w:spacing w:after="0" w:line="259" w:lineRule="auto"/>
        <w:ind w:left="0" w:firstLine="0"/>
        <w:jc w:val="center"/>
        <w:rPr>
          <w:b/>
          <w:sz w:val="32"/>
          <w:szCs w:val="32"/>
        </w:rPr>
      </w:pPr>
      <w:r w:rsidRPr="009C63E8">
        <w:rPr>
          <w:b/>
          <w:sz w:val="32"/>
          <w:szCs w:val="32"/>
        </w:rPr>
        <w:t>CALL FOR PROPOSALS</w:t>
      </w:r>
    </w:p>
    <w:p w14:paraId="357BACC4" w14:textId="77777777" w:rsidR="00F870D2" w:rsidRPr="009C63E8" w:rsidRDefault="00F870D2">
      <w:pPr>
        <w:spacing w:after="0" w:line="259" w:lineRule="auto"/>
        <w:ind w:left="0" w:firstLine="0"/>
        <w:jc w:val="left"/>
        <w:rPr>
          <w:b/>
          <w:sz w:val="32"/>
          <w:szCs w:val="32"/>
        </w:rPr>
      </w:pPr>
    </w:p>
    <w:p w14:paraId="2EAACBC8" w14:textId="64361DD3" w:rsidR="000B5B5B" w:rsidRDefault="00346622">
      <w:pPr>
        <w:spacing w:after="0" w:line="259" w:lineRule="auto"/>
        <w:ind w:left="0" w:firstLine="0"/>
        <w:jc w:val="left"/>
      </w:pPr>
      <w:r>
        <w:rPr>
          <w:b/>
          <w:sz w:val="26"/>
        </w:rPr>
        <w:t xml:space="preserve">The 2026 International Conference of ASEAN Studies </w:t>
      </w:r>
    </w:p>
    <w:p w14:paraId="6958794B" w14:textId="77777777" w:rsidR="000B5B5B" w:rsidRDefault="00346622">
      <w:pPr>
        <w:spacing w:after="0" w:line="259" w:lineRule="auto"/>
        <w:ind w:left="0" w:firstLine="0"/>
        <w:jc w:val="left"/>
      </w:pPr>
      <w:r>
        <w:rPr>
          <w:b/>
          <w:sz w:val="26"/>
        </w:rPr>
        <w:t xml:space="preserve"> </w:t>
      </w:r>
    </w:p>
    <w:p w14:paraId="02322797" w14:textId="4729E994" w:rsidR="000B5B5B" w:rsidRDefault="00346622">
      <w:pPr>
        <w:tabs>
          <w:tab w:val="center" w:pos="482"/>
          <w:tab w:val="center" w:pos="3194"/>
        </w:tabs>
        <w:ind w:left="0" w:firstLine="0"/>
        <w:jc w:val="left"/>
      </w:pPr>
      <w:r>
        <w:rPr>
          <w:rFonts w:ascii="Calibri" w:eastAsia="Calibri" w:hAnsi="Calibri" w:cs="Calibri"/>
          <w:noProof/>
          <w:sz w:val="22"/>
          <w:lang w:eastAsia="ja-JP"/>
        </w:rPr>
        <mc:AlternateContent>
          <mc:Choice Requires="wpg">
            <w:drawing>
              <wp:anchor distT="0" distB="0" distL="114300" distR="114300" simplePos="0" relativeHeight="251658240" behindDoc="0" locked="0" layoutInCell="1" allowOverlap="1" wp14:anchorId="3866E14E" wp14:editId="5DDE4DB1">
                <wp:simplePos x="0" y="0"/>
                <wp:positionH relativeFrom="column">
                  <wp:posOffset>251461</wp:posOffset>
                </wp:positionH>
                <wp:positionV relativeFrom="paragraph">
                  <wp:posOffset>52973</wp:posOffset>
                </wp:positionV>
                <wp:extent cx="42672" cy="208787"/>
                <wp:effectExtent l="0" t="0" r="0" b="0"/>
                <wp:wrapSquare wrapText="bothSides"/>
                <wp:docPr id="2840" name="Group 2840"/>
                <wp:cNvGraphicFramePr/>
                <a:graphic xmlns:a="http://schemas.openxmlformats.org/drawingml/2006/main">
                  <a:graphicData uri="http://schemas.microsoft.com/office/word/2010/wordprocessingGroup">
                    <wpg:wgp>
                      <wpg:cNvGrpSpPr/>
                      <wpg:grpSpPr>
                        <a:xfrm>
                          <a:off x="0" y="0"/>
                          <a:ext cx="42672" cy="208787"/>
                          <a:chOff x="0" y="0"/>
                          <a:chExt cx="42672" cy="208787"/>
                        </a:xfrm>
                      </wpg:grpSpPr>
                      <wps:wsp>
                        <wps:cNvPr id="3479" name="Shape 3479"/>
                        <wps:cNvSpPr/>
                        <wps:spPr>
                          <a:xfrm>
                            <a:off x="0" y="0"/>
                            <a:ext cx="42672" cy="44196"/>
                          </a:xfrm>
                          <a:custGeom>
                            <a:avLst/>
                            <a:gdLst/>
                            <a:ahLst/>
                            <a:cxnLst/>
                            <a:rect l="0" t="0" r="0" b="0"/>
                            <a:pathLst>
                              <a:path w="42672" h="44196">
                                <a:moveTo>
                                  <a:pt x="0" y="0"/>
                                </a:moveTo>
                                <a:lnTo>
                                  <a:pt x="42672" y="0"/>
                                </a:lnTo>
                                <a:lnTo>
                                  <a:pt x="42672"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0" name="Shape 3480"/>
                        <wps:cNvSpPr/>
                        <wps:spPr>
                          <a:xfrm>
                            <a:off x="0" y="164592"/>
                            <a:ext cx="42672" cy="44196"/>
                          </a:xfrm>
                          <a:custGeom>
                            <a:avLst/>
                            <a:gdLst/>
                            <a:ahLst/>
                            <a:cxnLst/>
                            <a:rect l="0" t="0" r="0" b="0"/>
                            <a:pathLst>
                              <a:path w="42672" h="44196">
                                <a:moveTo>
                                  <a:pt x="0" y="0"/>
                                </a:moveTo>
                                <a:lnTo>
                                  <a:pt x="42672" y="0"/>
                                </a:lnTo>
                                <a:lnTo>
                                  <a:pt x="42672"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40" style="width:3.36pt;height:16.4399pt;position:absolute;mso-position-horizontal-relative:text;mso-position-horizontal:absolute;margin-left:19.8001pt;mso-position-vertical-relative:text;margin-top:4.17113pt;" coordsize="426,2087">
                <v:shape id="Shape 3481" style="position:absolute;width:426;height:441;left:0;top:0;" coordsize="42672,44196" path="m0,0l42672,0l42672,44196l0,44196l0,0">
                  <v:stroke weight="0pt" endcap="flat" joinstyle="miter" miterlimit="10" on="false" color="#000000" opacity="0"/>
                  <v:fill on="true" color="#000000"/>
                </v:shape>
                <v:shape id="Shape 3482" style="position:absolute;width:426;height:441;left:0;top:1645;" coordsize="42672,44196" path="m0,0l42672,0l42672,44196l0,44196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Arial" w:eastAsia="Arial" w:hAnsi="Arial" w:cs="Arial"/>
        </w:rPr>
        <w:t xml:space="preserve"> </w:t>
      </w:r>
      <w:r>
        <w:t xml:space="preserve">To be held at Hanoi, Vietnam on 22~24 October 2026 </w:t>
      </w:r>
    </w:p>
    <w:p w14:paraId="59256A33" w14:textId="5C88622B" w:rsidR="000B5B5B" w:rsidRPr="00671430" w:rsidRDefault="00346622">
      <w:pPr>
        <w:ind w:left="665" w:right="55" w:hanging="269"/>
      </w:pPr>
      <w:r>
        <w:rPr>
          <w:rFonts w:ascii="Arial" w:eastAsia="Arial" w:hAnsi="Arial" w:cs="Arial"/>
        </w:rPr>
        <w:t xml:space="preserve"> </w:t>
      </w:r>
      <w:r>
        <w:t xml:space="preserve">Co-organized by Korea Institute for ASEAN Studies, Busan University of Foreign Studies (KIAS-BUFS), </w:t>
      </w:r>
      <w:r w:rsidRPr="00671430">
        <w:t xml:space="preserve">University of </w:t>
      </w:r>
      <w:r w:rsidR="000A1BCF" w:rsidRPr="00671430">
        <w:t>Social Sciences and Humanities</w:t>
      </w:r>
      <w:r w:rsidRPr="00671430">
        <w:t xml:space="preserve">, Vietnam </w:t>
      </w:r>
    </w:p>
    <w:p w14:paraId="0B681607" w14:textId="03841D8B" w:rsidR="000B5B5B" w:rsidRPr="00671430" w:rsidRDefault="00346622">
      <w:pPr>
        <w:ind w:left="761" w:right="55"/>
      </w:pPr>
      <w:r w:rsidRPr="00671430">
        <w:t>National University, Hanoi (U</w:t>
      </w:r>
      <w:r w:rsidR="000A1BCF" w:rsidRPr="00671430">
        <w:t>SSH</w:t>
      </w:r>
      <w:r w:rsidRPr="00671430">
        <w:t xml:space="preserve">-VNU), and Institute of Literature - Vietnamese Academy of Social Sciences (VIL-VASS) </w:t>
      </w:r>
    </w:p>
    <w:p w14:paraId="3321B973" w14:textId="5DA2D05A" w:rsidR="000B5B5B" w:rsidRDefault="00346622">
      <w:pPr>
        <w:ind w:left="751" w:right="55" w:hanging="355"/>
      </w:pPr>
      <w:r w:rsidRPr="00671430">
        <w:rPr>
          <w:rFonts w:ascii="Calibri" w:eastAsia="Calibri" w:hAnsi="Calibri" w:cs="Calibri"/>
          <w:noProof/>
          <w:sz w:val="22"/>
          <w:lang w:eastAsia="ja-JP"/>
        </w:rPr>
        <mc:AlternateContent>
          <mc:Choice Requires="wpg">
            <w:drawing>
              <wp:inline distT="0" distB="0" distL="0" distR="0" wp14:anchorId="34576FC5" wp14:editId="1967A4B2">
                <wp:extent cx="42672" cy="44196"/>
                <wp:effectExtent l="0" t="0" r="0" b="0"/>
                <wp:docPr id="2841" name="Group 2841"/>
                <wp:cNvGraphicFramePr/>
                <a:graphic xmlns:a="http://schemas.openxmlformats.org/drawingml/2006/main">
                  <a:graphicData uri="http://schemas.microsoft.com/office/word/2010/wordprocessingGroup">
                    <wpg:wgp>
                      <wpg:cNvGrpSpPr/>
                      <wpg:grpSpPr>
                        <a:xfrm>
                          <a:off x="0" y="0"/>
                          <a:ext cx="42672" cy="44196"/>
                          <a:chOff x="0" y="0"/>
                          <a:chExt cx="42672" cy="44196"/>
                        </a:xfrm>
                      </wpg:grpSpPr>
                      <wps:wsp>
                        <wps:cNvPr id="3483" name="Shape 3483"/>
                        <wps:cNvSpPr/>
                        <wps:spPr>
                          <a:xfrm>
                            <a:off x="0" y="0"/>
                            <a:ext cx="42672" cy="44196"/>
                          </a:xfrm>
                          <a:custGeom>
                            <a:avLst/>
                            <a:gdLst/>
                            <a:ahLst/>
                            <a:cxnLst/>
                            <a:rect l="0" t="0" r="0" b="0"/>
                            <a:pathLst>
                              <a:path w="42672" h="44196">
                                <a:moveTo>
                                  <a:pt x="0" y="0"/>
                                </a:moveTo>
                                <a:lnTo>
                                  <a:pt x="42672" y="0"/>
                                </a:lnTo>
                                <a:lnTo>
                                  <a:pt x="42672" y="44196"/>
                                </a:lnTo>
                                <a:lnTo>
                                  <a:pt x="0" y="44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41" style="width:3.36pt;height:3.47998pt;mso-position-horizontal-relative:char;mso-position-vertical-relative:line" coordsize="426,441">
                <v:shape id="Shape 3484" style="position:absolute;width:426;height:441;left:0;top:0;" coordsize="42672,44196" path="m0,0l42672,0l42672,44196l0,44196l0,0">
                  <v:stroke weight="0pt" endcap="flat" joinstyle="miter" miterlimit="10" on="false" color="#000000" opacity="0"/>
                  <v:fill on="true" color="#000000"/>
                </v:shape>
              </v:group>
            </w:pict>
          </mc:Fallback>
        </mc:AlternateContent>
      </w:r>
      <w:r w:rsidRPr="00671430">
        <w:rPr>
          <w:rFonts w:ascii="Arial" w:eastAsia="Arial" w:hAnsi="Arial" w:cs="Arial"/>
        </w:rPr>
        <w:t xml:space="preserve"> </w:t>
      </w:r>
      <w:r w:rsidRPr="00671430">
        <w:t xml:space="preserve">Venue: University of </w:t>
      </w:r>
      <w:r w:rsidR="000A1BCF" w:rsidRPr="00671430">
        <w:t>Social Sciences and Humanities</w:t>
      </w:r>
      <w:r w:rsidRPr="00671430">
        <w:t xml:space="preserve">, VNU </w:t>
      </w:r>
      <w:r w:rsidR="000A1BCF" w:rsidRPr="00671430">
        <w:t>(336 Nguy</w:t>
      </w:r>
      <w:r w:rsidR="0061099C" w:rsidRPr="00671430">
        <w:t xml:space="preserve">en </w:t>
      </w:r>
      <w:proofErr w:type="spellStart"/>
      <w:r w:rsidR="0061099C" w:rsidRPr="00671430">
        <w:t>Trai</w:t>
      </w:r>
      <w:proofErr w:type="spellEnd"/>
      <w:r w:rsidR="000A1BCF" w:rsidRPr="00671430">
        <w:t xml:space="preserve">, </w:t>
      </w:r>
      <w:proofErr w:type="spellStart"/>
      <w:r w:rsidR="000A1BCF" w:rsidRPr="00671430">
        <w:t>Thanh</w:t>
      </w:r>
      <w:proofErr w:type="spellEnd"/>
      <w:r w:rsidR="000A1BCF" w:rsidRPr="00671430">
        <w:t xml:space="preserve"> </w:t>
      </w:r>
      <w:proofErr w:type="spellStart"/>
      <w:r w:rsidR="000A1BCF" w:rsidRPr="00671430">
        <w:t>Xuan</w:t>
      </w:r>
      <w:proofErr w:type="spellEnd"/>
      <w:r w:rsidR="000A1BCF" w:rsidRPr="00671430">
        <w:t>, Hanoi, Vietnam)</w:t>
      </w:r>
      <w:r>
        <w:t xml:space="preserve"> </w:t>
      </w:r>
    </w:p>
    <w:p w14:paraId="7C903477" w14:textId="592C1117" w:rsidR="000B5B5B" w:rsidRDefault="00346622" w:rsidP="00F870D2">
      <w:pPr>
        <w:spacing w:after="0" w:line="259" w:lineRule="auto"/>
        <w:ind w:left="0" w:firstLine="0"/>
        <w:jc w:val="left"/>
      </w:pPr>
      <w:r>
        <w:t xml:space="preserve">  </w:t>
      </w:r>
    </w:p>
    <w:p w14:paraId="4339BD54" w14:textId="77777777" w:rsidR="000B5B5B" w:rsidRDefault="00346622">
      <w:pPr>
        <w:spacing w:after="16" w:line="259" w:lineRule="auto"/>
        <w:ind w:left="0" w:right="68" w:firstLine="0"/>
        <w:jc w:val="center"/>
      </w:pPr>
      <w:r>
        <w:rPr>
          <w:sz w:val="26"/>
        </w:rPr>
        <w:t>Conference Themes</w:t>
      </w:r>
      <w:r>
        <w:t xml:space="preserve">: </w:t>
      </w:r>
    </w:p>
    <w:p w14:paraId="19212259" w14:textId="77777777" w:rsidR="000B5B5B" w:rsidRDefault="00346622">
      <w:pPr>
        <w:spacing w:after="0" w:line="259" w:lineRule="auto"/>
        <w:ind w:left="10" w:right="69"/>
        <w:jc w:val="center"/>
      </w:pPr>
      <w:r>
        <w:rPr>
          <w:b/>
          <w:sz w:val="30"/>
        </w:rPr>
        <w:t xml:space="preserve">ASEAN-ROK Partnership in the Era of Crisis:  </w:t>
      </w:r>
    </w:p>
    <w:p w14:paraId="272F7A37" w14:textId="77777777" w:rsidR="000B5B5B" w:rsidRDefault="00346622">
      <w:pPr>
        <w:spacing w:after="0" w:line="259" w:lineRule="auto"/>
        <w:ind w:left="10" w:right="72"/>
        <w:jc w:val="center"/>
      </w:pPr>
      <w:r>
        <w:rPr>
          <w:b/>
          <w:sz w:val="30"/>
        </w:rPr>
        <w:t xml:space="preserve">Bridging Development, Innovation, and Cultural identity </w:t>
      </w:r>
    </w:p>
    <w:p w14:paraId="63704733" w14:textId="77777777" w:rsidR="000B5B5B" w:rsidRDefault="00346622">
      <w:pPr>
        <w:spacing w:after="0" w:line="259" w:lineRule="auto"/>
        <w:ind w:left="7" w:firstLine="0"/>
        <w:jc w:val="center"/>
      </w:pPr>
      <w:r>
        <w:rPr>
          <w:b/>
          <w:sz w:val="30"/>
        </w:rPr>
        <w:t xml:space="preserve"> </w:t>
      </w:r>
    </w:p>
    <w:p w14:paraId="65686AB5" w14:textId="77777777" w:rsidR="000B5B5B" w:rsidRDefault="00346622">
      <w:pPr>
        <w:ind w:left="0" w:right="55" w:firstLine="401"/>
      </w:pPr>
      <w:r>
        <w:t xml:space="preserve">In an era of climate emergencies, pandemic threats, economic disruptions, and rising geopolitical tensions, the partnership between ASEAN and the Republic of Korea stands at a critical turning point. Both regions face the challenge of building resilient pathways that bridge sustainable development, technological innovation, and cultural preservation. </w:t>
      </w:r>
    </w:p>
    <w:p w14:paraId="71D29344" w14:textId="77777777" w:rsidR="000B5B5B" w:rsidRDefault="00346622">
      <w:pPr>
        <w:ind w:left="0" w:right="55" w:firstLine="401"/>
      </w:pPr>
      <w:r>
        <w:t xml:space="preserve">This conference examines the many dimensions of ASEAN-ROK relations, addressing shared challenges including climate change, digital divides, inequality, and geopolitical tensions while exploring collaborative solutions through strategic partnerships, mini-lateral cooperation, and people-to-people connectivity to build a more equitable, sustainable, and crisis-resilient regional order. </w:t>
      </w:r>
    </w:p>
    <w:p w14:paraId="36689F06" w14:textId="6335A770" w:rsidR="000B5B5B" w:rsidRDefault="00346622">
      <w:pPr>
        <w:ind w:left="0" w:right="55" w:firstLine="401"/>
      </w:pPr>
      <w:r>
        <w:t xml:space="preserve">Against this backdrop, the Korea Institute for ASEAN Studies, Busan University of Foreign Studies (KIAS-BUFS), the </w:t>
      </w:r>
      <w:r w:rsidR="000A1BCF">
        <w:t>Faculty of Oriental Studies</w:t>
      </w:r>
      <w:r>
        <w:t xml:space="preserve"> at University of </w:t>
      </w:r>
      <w:r w:rsidR="000A1BCF">
        <w:t>Social Sciences and Humanities, Vietnam National University, Hanoi</w:t>
      </w:r>
      <w:r>
        <w:t xml:space="preserve"> (</w:t>
      </w:r>
      <w:r w:rsidR="000A1BCF">
        <w:t xml:space="preserve">USSH </w:t>
      </w:r>
      <w:r w:rsidR="00F9273B">
        <w:t>–</w:t>
      </w:r>
      <w:r w:rsidR="000A1BCF">
        <w:t xml:space="preserve"> VNU</w:t>
      </w:r>
      <w:r w:rsidR="00F9273B">
        <w:t xml:space="preserve"> Hanoi</w:t>
      </w:r>
      <w:r>
        <w:t xml:space="preserve">), and the Vietnamese Academy of Social Sciences (VASS) are collaborating as leading scientific institutions to organize this international conference. The conference brings together scholars, policymakers, and practitioners to analyze how ASEAN and ROK can jointly advance the interests of the Global South while maintaining regional centrality and strategic autonomy. </w:t>
      </w:r>
    </w:p>
    <w:p w14:paraId="66A984D1" w14:textId="27F71D68" w:rsidR="000B5B5B" w:rsidRDefault="00346622">
      <w:pPr>
        <w:ind w:left="0" w:right="55" w:firstLine="401"/>
      </w:pPr>
      <w:r>
        <w:t xml:space="preserve">The conference </w:t>
      </w:r>
      <w:r w:rsidRPr="000A09D5">
        <w:t xml:space="preserve">invites </w:t>
      </w:r>
      <w:r w:rsidR="00F9273B" w:rsidRPr="000A09D5">
        <w:t xml:space="preserve">lecturers and researchers at the University of Social Sciences and Humanities, Vietnam National University, Hanoi continue </w:t>
      </w:r>
      <w:r w:rsidRPr="000A09D5">
        <w:t>to submit</w:t>
      </w:r>
      <w:r>
        <w:t xml:space="preserve"> </w:t>
      </w:r>
      <w:r>
        <w:rPr>
          <w:b/>
        </w:rPr>
        <w:t>panel proposals</w:t>
      </w:r>
      <w:r>
        <w:t xml:space="preserve"> on any topics related to the conference themes. Papers on the following sub-themes are particularly welcomed: </w:t>
      </w:r>
    </w:p>
    <w:p w14:paraId="10592563" w14:textId="77777777" w:rsidR="000B5B5B" w:rsidRDefault="00346622">
      <w:pPr>
        <w:spacing w:after="0" w:line="259" w:lineRule="auto"/>
        <w:ind w:left="226" w:firstLine="0"/>
        <w:jc w:val="left"/>
      </w:pPr>
      <w:r>
        <w:t xml:space="preserve"> </w:t>
      </w:r>
    </w:p>
    <w:p w14:paraId="46FC0A2D" w14:textId="77777777" w:rsidR="000B5B5B" w:rsidRDefault="00346622">
      <w:pPr>
        <w:numPr>
          <w:ilvl w:val="0"/>
          <w:numId w:val="1"/>
        </w:numPr>
        <w:ind w:right="814" w:hanging="338"/>
      </w:pPr>
      <w:bookmarkStart w:id="0" w:name="_Hlk223349740"/>
      <w:r>
        <w:t xml:space="preserve">ASEAN-ROK Strategic Partnership in the Global South Context </w:t>
      </w:r>
    </w:p>
    <w:p w14:paraId="2DDAACBF" w14:textId="77777777" w:rsidR="00671430" w:rsidRDefault="00346622">
      <w:pPr>
        <w:numPr>
          <w:ilvl w:val="0"/>
          <w:numId w:val="1"/>
        </w:numPr>
        <w:ind w:right="814" w:hanging="338"/>
      </w:pPr>
      <w:r>
        <w:t xml:space="preserve">Mini-lateral Cooperation between ASEAN Sub-Regions and Korea </w:t>
      </w:r>
    </w:p>
    <w:p w14:paraId="4E1F3790" w14:textId="48CB00C6" w:rsidR="000B5B5B" w:rsidRDefault="00346622">
      <w:pPr>
        <w:numPr>
          <w:ilvl w:val="0"/>
          <w:numId w:val="1"/>
        </w:numPr>
        <w:ind w:right="814" w:hanging="338"/>
      </w:pPr>
      <w:r>
        <w:t xml:space="preserve">Emerging Issues in ASEAN-ROK Relations </w:t>
      </w:r>
    </w:p>
    <w:p w14:paraId="2BD257C3" w14:textId="0434E829" w:rsidR="00B06FA3" w:rsidRDefault="00346622" w:rsidP="00B06FA3">
      <w:pPr>
        <w:ind w:right="55"/>
      </w:pPr>
      <w:r>
        <w:t>4.</w:t>
      </w:r>
      <w:r>
        <w:rPr>
          <w:rFonts w:ascii="Arial" w:eastAsia="Arial" w:hAnsi="Arial" w:cs="Arial"/>
        </w:rPr>
        <w:t xml:space="preserve"> </w:t>
      </w:r>
      <w:r w:rsidR="00671430">
        <w:rPr>
          <w:rFonts w:ascii="Arial" w:eastAsia="Arial" w:hAnsi="Arial" w:cs="Arial"/>
        </w:rPr>
        <w:t xml:space="preserve">  </w:t>
      </w:r>
      <w:r>
        <w:t>General Topics:</w:t>
      </w:r>
    </w:p>
    <w:p w14:paraId="7CBB0D09" w14:textId="6A281315" w:rsidR="00B06FA3" w:rsidRDefault="00B06FA3" w:rsidP="00B06FA3">
      <w:pPr>
        <w:ind w:right="55"/>
      </w:pPr>
      <w:r>
        <w:tab/>
      </w:r>
      <w:r>
        <w:tab/>
        <w:t>- Climate Justice and Green Transition</w:t>
      </w:r>
    </w:p>
    <w:p w14:paraId="5ED7B9AC" w14:textId="3A4D5AF8" w:rsidR="00B06FA3" w:rsidRDefault="00B06FA3" w:rsidP="00B06FA3">
      <w:pPr>
        <w:ind w:right="55"/>
      </w:pPr>
      <w:r>
        <w:lastRenderedPageBreak/>
        <w:tab/>
      </w:r>
      <w:r>
        <w:tab/>
        <w:t>-</w:t>
      </w:r>
      <w:r w:rsidRPr="00B06FA3">
        <w:t xml:space="preserve"> </w:t>
      </w:r>
      <w:r>
        <w:t>Inclusive Development and Social Equity</w:t>
      </w:r>
    </w:p>
    <w:p w14:paraId="3CBCB3CC" w14:textId="37DA1058" w:rsidR="00B06FA3" w:rsidRDefault="00B06FA3" w:rsidP="00B06FA3">
      <w:pPr>
        <w:ind w:right="55"/>
      </w:pPr>
      <w:r>
        <w:tab/>
      </w:r>
      <w:r>
        <w:tab/>
        <w:t>- Cultural Diplomacy and People-to-People Connectivity</w:t>
      </w:r>
    </w:p>
    <w:p w14:paraId="68E8853C" w14:textId="0AC5E8B3" w:rsidR="00B06FA3" w:rsidRDefault="00B06FA3" w:rsidP="00B06FA3">
      <w:pPr>
        <w:ind w:right="55"/>
      </w:pPr>
      <w:r>
        <w:tab/>
      </w:r>
      <w:r>
        <w:tab/>
        <w:t xml:space="preserve">- </w:t>
      </w:r>
      <w:r w:rsidR="0011487B">
        <w:t>Geopolitics, Security, and Regional Order</w:t>
      </w:r>
    </w:p>
    <w:p w14:paraId="657CD4CC" w14:textId="420725A3" w:rsidR="0011487B" w:rsidRDefault="0011487B" w:rsidP="00B06FA3">
      <w:pPr>
        <w:ind w:right="55"/>
      </w:pPr>
      <w:r>
        <w:tab/>
      </w:r>
      <w:r>
        <w:tab/>
        <w:t>- Higher Education and Knowledge Networks</w:t>
      </w:r>
    </w:p>
    <w:p w14:paraId="273BA2DA" w14:textId="5BDEB0E6" w:rsidR="0011487B" w:rsidRDefault="0011487B" w:rsidP="00B06FA3">
      <w:pPr>
        <w:ind w:right="55"/>
      </w:pPr>
      <w:r>
        <w:tab/>
      </w:r>
      <w:r>
        <w:tab/>
        <w:t xml:space="preserve">- Digital humanities  </w:t>
      </w:r>
    </w:p>
    <w:p w14:paraId="09355FAB" w14:textId="5CF4B5A6" w:rsidR="0011487B" w:rsidRDefault="0011487B" w:rsidP="00B06FA3">
      <w:pPr>
        <w:ind w:right="55"/>
      </w:pPr>
      <w:r>
        <w:tab/>
      </w:r>
      <w:r>
        <w:tab/>
        <w:t>- Economy and Literature &amp; Art</w:t>
      </w:r>
    </w:p>
    <w:p w14:paraId="32E98A48" w14:textId="76F2C201" w:rsidR="0011487B" w:rsidRDefault="0011487B" w:rsidP="00B06FA3">
      <w:pPr>
        <w:ind w:right="55"/>
      </w:pPr>
      <w:r>
        <w:tab/>
      </w:r>
      <w:r>
        <w:tab/>
        <w:t xml:space="preserve">- Cultural Industry  </w:t>
      </w:r>
    </w:p>
    <w:p w14:paraId="5A098584" w14:textId="3D8ADF4D" w:rsidR="0011487B" w:rsidRDefault="0011487B" w:rsidP="00B06FA3">
      <w:pPr>
        <w:ind w:right="55"/>
      </w:pPr>
      <w:r>
        <w:tab/>
      </w:r>
      <w:r>
        <w:tab/>
        <w:t xml:space="preserve">- Literatures and Cultures of Ethnic Groups  </w:t>
      </w:r>
    </w:p>
    <w:p w14:paraId="13A55A4D" w14:textId="7D942845" w:rsidR="0011487B" w:rsidRDefault="0011487B" w:rsidP="00B06FA3">
      <w:pPr>
        <w:ind w:right="55"/>
      </w:pPr>
      <w:r>
        <w:tab/>
      </w:r>
      <w:r>
        <w:tab/>
        <w:t>- Southeast Asian Cultures in Korea</w:t>
      </w:r>
    </w:p>
    <w:p w14:paraId="3E0F0EE9" w14:textId="62BBE5F2" w:rsidR="0011487B" w:rsidRDefault="0011487B" w:rsidP="008B47CD">
      <w:pPr>
        <w:ind w:left="0" w:right="55" w:firstLine="0"/>
      </w:pPr>
    </w:p>
    <w:p w14:paraId="705D4FAB" w14:textId="4FAF2EA5" w:rsidR="000B5B5B" w:rsidRDefault="00346622">
      <w:pPr>
        <w:spacing w:after="37" w:line="249" w:lineRule="auto"/>
        <w:ind w:left="283"/>
        <w:jc w:val="left"/>
      </w:pPr>
      <w:r>
        <w:rPr>
          <w:b/>
        </w:rPr>
        <w:t>Submission of Proposals/Paper Summaries</w:t>
      </w:r>
      <w:bookmarkEnd w:id="0"/>
      <w:r>
        <w:rPr>
          <w:b/>
        </w:rPr>
        <w:t xml:space="preserve">, and Journal Publication </w:t>
      </w:r>
    </w:p>
    <w:p w14:paraId="46C6411E" w14:textId="69F22876" w:rsidR="000B5B5B" w:rsidRDefault="008B47CD" w:rsidP="008B47CD">
      <w:pPr>
        <w:spacing w:after="0" w:line="249" w:lineRule="auto"/>
        <w:ind w:left="643" w:right="55" w:firstLine="0"/>
      </w:pPr>
      <w:r>
        <w:rPr>
          <w:b/>
        </w:rPr>
        <w:t xml:space="preserve">1. </w:t>
      </w:r>
      <w:r w:rsidR="00346622">
        <w:rPr>
          <w:b/>
        </w:rPr>
        <w:t xml:space="preserve">We kindly request that </w:t>
      </w:r>
      <w:r w:rsidR="00346622">
        <w:rPr>
          <w:b/>
          <w:u w:val="single" w:color="000000"/>
        </w:rPr>
        <w:t>only Panel proposals</w:t>
      </w:r>
      <w:r w:rsidR="00346622">
        <w:rPr>
          <w:b/>
        </w:rPr>
        <w:t xml:space="preserve"> be submitted, as individual paper submissions are not being accepted. </w:t>
      </w:r>
    </w:p>
    <w:p w14:paraId="3EBCE840" w14:textId="615E3DCE" w:rsidR="000B5B5B" w:rsidRDefault="008B47CD" w:rsidP="008B47CD">
      <w:pPr>
        <w:ind w:left="643" w:right="55" w:firstLine="0"/>
      </w:pPr>
      <w:r>
        <w:t xml:space="preserve">2. </w:t>
      </w:r>
      <w:r w:rsidR="00346622">
        <w:t xml:space="preserve">Panel proposals must include the session title along with the titles and abstracts of all proposed papers. </w:t>
      </w:r>
    </w:p>
    <w:p w14:paraId="7026BC9C" w14:textId="237BDEE7" w:rsidR="000B5B5B" w:rsidRDefault="008B47CD" w:rsidP="008B47CD">
      <w:pPr>
        <w:ind w:left="643" w:right="55" w:firstLine="0"/>
      </w:pPr>
      <w:r>
        <w:t xml:space="preserve">3. </w:t>
      </w:r>
      <w:r w:rsidR="00346622" w:rsidRPr="000A09D5">
        <w:t>The paper summary should be written in English, spanning 5 pages of length, and should clearly present the core arguments of the paper.</w:t>
      </w:r>
      <w:r w:rsidR="00346622">
        <w:t xml:space="preserve"> </w:t>
      </w:r>
    </w:p>
    <w:p w14:paraId="191E92F4" w14:textId="1B02E772" w:rsidR="000B5B5B" w:rsidRDefault="008B47CD" w:rsidP="008B47CD">
      <w:pPr>
        <w:ind w:left="643" w:right="55" w:firstLine="0"/>
      </w:pPr>
      <w:r>
        <w:t xml:space="preserve">4. </w:t>
      </w:r>
      <w:r w:rsidR="00346622">
        <w:t>Following the conference, authors are expected to finalize their presented papers for submission to</w:t>
      </w:r>
      <w:r w:rsidR="00346622">
        <w:rPr>
          <w:rFonts w:ascii="Calibri" w:eastAsia="Calibri" w:hAnsi="Calibri" w:cs="Calibri"/>
          <w:sz w:val="21"/>
        </w:rPr>
        <w:t xml:space="preserve"> </w:t>
      </w:r>
      <w:r w:rsidR="00346622">
        <w:rPr>
          <w:i/>
        </w:rPr>
        <w:t>SUVANNABHUMI: Multidisciplinary Journal of Southeast Asian Studies</w:t>
      </w:r>
      <w:r w:rsidR="00346622">
        <w:t xml:space="preserve"> (SCOPUS) or other academic journals published by the co-host entities. Please note that not all papers will be published.</w:t>
      </w:r>
      <w:r w:rsidR="00346622">
        <w:rPr>
          <w:b/>
        </w:rPr>
        <w:t xml:space="preserve"> </w:t>
      </w:r>
      <w:r w:rsidR="00346622">
        <w:t xml:space="preserve">All submissions will undergo a rigorous peer-review process prior to publication. </w:t>
      </w:r>
    </w:p>
    <w:p w14:paraId="44F84BDE" w14:textId="4C28CCA9" w:rsidR="000B5B5B" w:rsidRDefault="008B47CD" w:rsidP="008B47CD">
      <w:pPr>
        <w:ind w:left="643" w:right="55" w:firstLine="0"/>
      </w:pPr>
      <w:r>
        <w:t xml:space="preserve">5. </w:t>
      </w:r>
      <w:r w:rsidR="00346622">
        <w:t xml:space="preserve">Schedule for proposal and paper summary submission: </w:t>
      </w:r>
    </w:p>
    <w:p w14:paraId="04836A74" w14:textId="754E7020" w:rsidR="000B5B5B" w:rsidRPr="000A09D5" w:rsidRDefault="00346622" w:rsidP="008B47CD">
      <w:pPr>
        <w:ind w:left="1356" w:right="55" w:firstLine="84"/>
      </w:pPr>
      <w:r>
        <w:t xml:space="preserve">Submission of panel proposals and curriculum vitals: </w:t>
      </w:r>
      <w:r w:rsidR="0061099C" w:rsidRPr="000A09D5">
        <w:rPr>
          <w:b/>
        </w:rPr>
        <w:t>1</w:t>
      </w:r>
      <w:r w:rsidR="0011487B" w:rsidRPr="000A09D5">
        <w:rPr>
          <w:b/>
        </w:rPr>
        <w:t>3</w:t>
      </w:r>
      <w:r w:rsidRPr="000A09D5">
        <w:rPr>
          <w:b/>
        </w:rPr>
        <w:t xml:space="preserve"> March 2026</w:t>
      </w:r>
    </w:p>
    <w:p w14:paraId="40979FB5" w14:textId="363C115A" w:rsidR="000B5B5B" w:rsidRDefault="00346622">
      <w:pPr>
        <w:ind w:left="636" w:right="55"/>
      </w:pPr>
      <w:r w:rsidRPr="000A09D5">
        <w:rPr>
          <w:rFonts w:ascii="Arial" w:eastAsia="Arial" w:hAnsi="Arial" w:cs="Arial"/>
        </w:rPr>
        <w:t xml:space="preserve"> </w:t>
      </w:r>
      <w:r w:rsidR="008B47CD" w:rsidRPr="000A09D5">
        <w:rPr>
          <w:rFonts w:ascii="Arial" w:eastAsia="Arial" w:hAnsi="Arial" w:cs="Arial"/>
        </w:rPr>
        <w:tab/>
      </w:r>
      <w:r w:rsidR="008B47CD" w:rsidRPr="000A09D5">
        <w:rPr>
          <w:rFonts w:ascii="Arial" w:eastAsia="Arial" w:hAnsi="Arial" w:cs="Arial"/>
        </w:rPr>
        <w:tab/>
      </w:r>
      <w:r w:rsidRPr="000A09D5">
        <w:t xml:space="preserve">Confirmation of acceptance: </w:t>
      </w:r>
      <w:r w:rsidRPr="000A09D5">
        <w:rPr>
          <w:b/>
        </w:rPr>
        <w:t xml:space="preserve"> 1</w:t>
      </w:r>
      <w:r w:rsidR="0011487B" w:rsidRPr="000A09D5">
        <w:rPr>
          <w:b/>
        </w:rPr>
        <w:t>4</w:t>
      </w:r>
      <w:r w:rsidRPr="000A09D5">
        <w:rPr>
          <w:b/>
        </w:rPr>
        <w:t xml:space="preserve"> </w:t>
      </w:r>
      <w:r w:rsidR="00F9273B" w:rsidRPr="000A09D5">
        <w:rPr>
          <w:b/>
        </w:rPr>
        <w:t>Mar</w:t>
      </w:r>
      <w:r w:rsidRPr="000A09D5">
        <w:rPr>
          <w:b/>
        </w:rPr>
        <w:t>ch 2026</w:t>
      </w:r>
      <w:r>
        <w:t xml:space="preserve"> </w:t>
      </w:r>
    </w:p>
    <w:p w14:paraId="13D6CC1B" w14:textId="482C8C4D" w:rsidR="000B5B5B" w:rsidRDefault="00346622" w:rsidP="008B47CD">
      <w:pPr>
        <w:ind w:left="1440" w:right="55" w:firstLine="2"/>
      </w:pPr>
      <w:r>
        <w:t xml:space="preserve">Submission of paper summaries (for selected proposals only): </w:t>
      </w:r>
      <w:r>
        <w:rPr>
          <w:b/>
        </w:rPr>
        <w:t>June 20</w:t>
      </w:r>
      <w:r w:rsidR="000A09D5">
        <w:rPr>
          <w:b/>
        </w:rPr>
        <w:t>,</w:t>
      </w:r>
      <w:r>
        <w:rPr>
          <w:b/>
        </w:rPr>
        <w:t xml:space="preserve"> </w:t>
      </w:r>
      <w:proofErr w:type="gramStart"/>
      <w:r>
        <w:rPr>
          <w:b/>
        </w:rPr>
        <w:t>2026</w:t>
      </w:r>
      <w:r>
        <w:t xml:space="preserve"> </w:t>
      </w:r>
      <w:r>
        <w:rPr>
          <w:rFonts w:ascii="Arial" w:eastAsia="Arial" w:hAnsi="Arial" w:cs="Arial"/>
        </w:rPr>
        <w:t xml:space="preserve"> </w:t>
      </w:r>
      <w:r>
        <w:t>Submissions</w:t>
      </w:r>
      <w:proofErr w:type="gramEnd"/>
      <w:r>
        <w:t xml:space="preserve"> should be made via email to </w:t>
      </w:r>
      <w:r w:rsidR="000A09D5" w:rsidRPr="000A09D5">
        <w:rPr>
          <w:b/>
        </w:rPr>
        <w:t>seacomplit@gmail.com</w:t>
      </w:r>
    </w:p>
    <w:p w14:paraId="25DD9EDB" w14:textId="77777777" w:rsidR="008B47CD" w:rsidRDefault="008B47CD" w:rsidP="00671430">
      <w:pPr>
        <w:spacing w:after="56" w:line="259" w:lineRule="auto"/>
        <w:ind w:left="2" w:firstLine="0"/>
        <w:jc w:val="left"/>
        <w:rPr>
          <w:b/>
        </w:rPr>
      </w:pPr>
    </w:p>
    <w:p w14:paraId="4B027796" w14:textId="5D306D4A" w:rsidR="000B5B5B" w:rsidRDefault="00346622" w:rsidP="00671430">
      <w:pPr>
        <w:spacing w:after="56" w:line="259" w:lineRule="auto"/>
        <w:ind w:left="2" w:firstLine="0"/>
        <w:jc w:val="left"/>
      </w:pPr>
      <w:r>
        <w:rPr>
          <w:b/>
        </w:rPr>
        <w:t xml:space="preserve">Conference Schedule  </w:t>
      </w:r>
    </w:p>
    <w:p w14:paraId="38B2848B" w14:textId="77777777" w:rsidR="000B5B5B" w:rsidRDefault="00346622">
      <w:pPr>
        <w:ind w:right="55"/>
      </w:pPr>
      <w:r>
        <w:rPr>
          <w:rFonts w:ascii="Arial" w:eastAsia="Arial" w:hAnsi="Arial" w:cs="Arial"/>
        </w:rPr>
        <w:t xml:space="preserve"> </w:t>
      </w:r>
      <w:r>
        <w:t xml:space="preserve">Participants arrival and hotel check-in: </w:t>
      </w:r>
      <w:r>
        <w:rPr>
          <w:b/>
        </w:rPr>
        <w:t>22 October 2026</w:t>
      </w:r>
      <w:r>
        <w:rPr>
          <w:rFonts w:ascii="Calibri" w:eastAsia="Calibri" w:hAnsi="Calibri" w:cs="Calibri"/>
        </w:rPr>
        <w:t xml:space="preserve"> </w:t>
      </w:r>
    </w:p>
    <w:p w14:paraId="3393942D" w14:textId="77777777" w:rsidR="000B5B5B" w:rsidRDefault="00346622">
      <w:pPr>
        <w:ind w:right="55"/>
      </w:pPr>
      <w:r>
        <w:rPr>
          <w:rFonts w:ascii="Arial" w:eastAsia="Arial" w:hAnsi="Arial" w:cs="Arial"/>
        </w:rPr>
        <w:t xml:space="preserve"> </w:t>
      </w:r>
      <w:r>
        <w:t xml:space="preserve">Conference day: </w:t>
      </w:r>
      <w:r>
        <w:rPr>
          <w:b/>
        </w:rPr>
        <w:t>23 October 2026</w:t>
      </w:r>
      <w:r>
        <w:rPr>
          <w:rFonts w:ascii="Calibri" w:eastAsia="Calibri" w:hAnsi="Calibri" w:cs="Calibri"/>
        </w:rPr>
        <w:t xml:space="preserve"> </w:t>
      </w:r>
    </w:p>
    <w:p w14:paraId="3FA8475B" w14:textId="77777777" w:rsidR="000B5B5B" w:rsidRDefault="00346622">
      <w:pPr>
        <w:spacing w:after="60"/>
        <w:ind w:right="55"/>
      </w:pPr>
      <w:r>
        <w:rPr>
          <w:rFonts w:ascii="Arial" w:eastAsia="Arial" w:hAnsi="Arial" w:cs="Arial"/>
        </w:rPr>
        <w:t xml:space="preserve"> </w:t>
      </w:r>
      <w:r>
        <w:t xml:space="preserve">City tour and farewell lunch: </w:t>
      </w:r>
      <w:r>
        <w:rPr>
          <w:b/>
        </w:rPr>
        <w:t>24 October 2026</w:t>
      </w:r>
      <w:r>
        <w:rPr>
          <w:rFonts w:ascii="Calibri" w:eastAsia="Calibri" w:hAnsi="Calibri" w:cs="Calibri"/>
        </w:rPr>
        <w:t xml:space="preserve"> </w:t>
      </w:r>
    </w:p>
    <w:p w14:paraId="78A4CD64" w14:textId="77777777" w:rsidR="008B47CD" w:rsidRDefault="008B47CD">
      <w:pPr>
        <w:spacing w:after="37" w:line="249" w:lineRule="auto"/>
        <w:ind w:left="32"/>
        <w:jc w:val="left"/>
        <w:rPr>
          <w:b/>
        </w:rPr>
      </w:pPr>
    </w:p>
    <w:p w14:paraId="146D60F6" w14:textId="770AE94B" w:rsidR="000B5B5B" w:rsidRDefault="00346622">
      <w:pPr>
        <w:spacing w:after="37" w:line="249" w:lineRule="auto"/>
        <w:ind w:left="32"/>
        <w:jc w:val="left"/>
      </w:pPr>
      <w:r>
        <w:rPr>
          <w:b/>
        </w:rPr>
        <w:t xml:space="preserve"> Organization of the Conference </w:t>
      </w:r>
    </w:p>
    <w:p w14:paraId="432D702B" w14:textId="77777777" w:rsidR="000B5B5B" w:rsidRDefault="00346622">
      <w:pPr>
        <w:numPr>
          <w:ilvl w:val="0"/>
          <w:numId w:val="3"/>
        </w:numPr>
        <w:ind w:right="55" w:hanging="374"/>
      </w:pPr>
      <w:r>
        <w:t xml:space="preserve">All participating institutions and organizations shall be listed as the Co-host entities. </w:t>
      </w:r>
    </w:p>
    <w:p w14:paraId="4135014E" w14:textId="77777777" w:rsidR="000B5B5B" w:rsidRDefault="00346622">
      <w:pPr>
        <w:numPr>
          <w:ilvl w:val="0"/>
          <w:numId w:val="3"/>
        </w:numPr>
        <w:ind w:right="55" w:hanging="374"/>
      </w:pPr>
      <w:r>
        <w:t xml:space="preserve">Co- host entities may invite their panelists from their academic networks. </w:t>
      </w:r>
    </w:p>
    <w:p w14:paraId="297FE574" w14:textId="77777777" w:rsidR="000B5B5B" w:rsidRDefault="00346622">
      <w:pPr>
        <w:numPr>
          <w:ilvl w:val="0"/>
          <w:numId w:val="3"/>
        </w:numPr>
        <w:ind w:right="55" w:hanging="374"/>
      </w:pPr>
      <w:r>
        <w:t xml:space="preserve">Co-host institutions are responsible for arranging airfare and hotel accommodations for their invited participants. </w:t>
      </w:r>
    </w:p>
    <w:p w14:paraId="2A925DFF" w14:textId="1FA03F50" w:rsidR="000B5B5B" w:rsidRDefault="00346622">
      <w:pPr>
        <w:numPr>
          <w:ilvl w:val="0"/>
          <w:numId w:val="3"/>
        </w:numPr>
        <w:ind w:right="55" w:hanging="374"/>
      </w:pPr>
      <w:r>
        <w:t>The co-organizers, KIAS-</w:t>
      </w:r>
      <w:r w:rsidRPr="00D150D2">
        <w:t>BUFS,</w:t>
      </w:r>
      <w:r w:rsidR="00D150D2">
        <w:t xml:space="preserve"> </w:t>
      </w:r>
      <w:r w:rsidR="0061099C" w:rsidRPr="00D150D2">
        <w:t>USSH</w:t>
      </w:r>
      <w:r w:rsidRPr="00D150D2">
        <w:t>-VNU</w:t>
      </w:r>
      <w:r>
        <w:t xml:space="preserve"> and VIL-VASS, will provide conference venue and kits, meals, and a city tour for all participants. </w:t>
      </w:r>
    </w:p>
    <w:p w14:paraId="4C2CC4B8" w14:textId="77777777" w:rsidR="000B5B5B" w:rsidRDefault="00346622">
      <w:pPr>
        <w:numPr>
          <w:ilvl w:val="0"/>
          <w:numId w:val="3"/>
        </w:numPr>
        <w:ind w:right="55" w:hanging="374"/>
      </w:pPr>
      <w:r>
        <w:t xml:space="preserve">The Co-host entities shall prepare and promote its institutional or organizational identity and its academic journal publication at the conference venue. </w:t>
      </w:r>
    </w:p>
    <w:p w14:paraId="74401757" w14:textId="77777777" w:rsidR="008B47CD" w:rsidRDefault="008B47CD">
      <w:pPr>
        <w:spacing w:after="37" w:line="249" w:lineRule="auto"/>
        <w:ind w:left="32"/>
        <w:jc w:val="left"/>
        <w:rPr>
          <w:b/>
        </w:rPr>
      </w:pPr>
    </w:p>
    <w:p w14:paraId="136FCBF4" w14:textId="48E42A85" w:rsidR="000B5B5B" w:rsidRDefault="00346622">
      <w:pPr>
        <w:spacing w:after="37" w:line="249" w:lineRule="auto"/>
        <w:ind w:left="32"/>
        <w:jc w:val="left"/>
      </w:pPr>
      <w:r>
        <w:rPr>
          <w:b/>
        </w:rPr>
        <w:t xml:space="preserve">Contact to: </w:t>
      </w:r>
    </w:p>
    <w:p w14:paraId="0CA8E817" w14:textId="77777777" w:rsidR="000B5B5B" w:rsidRDefault="00346622">
      <w:pPr>
        <w:spacing w:after="10" w:line="249" w:lineRule="auto"/>
        <w:ind w:left="413"/>
        <w:jc w:val="left"/>
      </w:pPr>
      <w:r>
        <w:rPr>
          <w:b/>
        </w:rPr>
        <w:t xml:space="preserve">Conference Organizing Committee </w:t>
      </w:r>
    </w:p>
    <w:p w14:paraId="46DC7DDE" w14:textId="77777777" w:rsidR="000B5B5B" w:rsidRDefault="00346622">
      <w:pPr>
        <w:ind w:right="55"/>
      </w:pPr>
      <w:r>
        <w:t xml:space="preserve">Korea Institute for ASEAN Studies (KIAS-BUFS) </w:t>
      </w:r>
    </w:p>
    <w:p w14:paraId="13D57A61" w14:textId="09A55EAB" w:rsidR="000B5B5B" w:rsidRDefault="0061099C">
      <w:pPr>
        <w:ind w:right="55"/>
      </w:pPr>
      <w:r>
        <w:t xml:space="preserve">University of Social Sciences and Humanities, </w:t>
      </w:r>
      <w:r w:rsidR="00346622">
        <w:t>Vietnam National University, Hanoi (U</w:t>
      </w:r>
      <w:r>
        <w:t>SSH</w:t>
      </w:r>
      <w:r w:rsidR="00346622">
        <w:t xml:space="preserve">-VNU) </w:t>
      </w:r>
    </w:p>
    <w:p w14:paraId="7FC48EB6" w14:textId="77777777" w:rsidR="000B5B5B" w:rsidRDefault="00346622">
      <w:pPr>
        <w:ind w:right="55"/>
      </w:pPr>
      <w:r>
        <w:t xml:space="preserve">Institute of Literature - Vietnamese Academy of Social Sciences (VIL-VASS) </w:t>
      </w:r>
    </w:p>
    <w:p w14:paraId="32A3D427" w14:textId="0B6C6A06" w:rsidR="000B5B5B" w:rsidRDefault="00346622">
      <w:pPr>
        <w:ind w:right="55"/>
      </w:pPr>
      <w:r>
        <w:t xml:space="preserve">Office: +82-51-509-6644 </w:t>
      </w:r>
    </w:p>
    <w:p w14:paraId="3C2546E2" w14:textId="0009F3F7" w:rsidR="000B5B5B" w:rsidRDefault="00346622" w:rsidP="00671430">
      <w:pPr>
        <w:spacing w:after="280"/>
        <w:ind w:right="55"/>
      </w:pPr>
      <w:r>
        <w:t xml:space="preserve">Email: kiasbufsconf@gmail.com </w:t>
      </w:r>
      <w:r>
        <w:rPr>
          <w:rFonts w:ascii="Calibri" w:eastAsia="Calibri" w:hAnsi="Calibri" w:cs="Calibri"/>
          <w:sz w:val="29"/>
          <w:vertAlign w:val="subscript"/>
        </w:rPr>
        <w:t xml:space="preserve"> </w:t>
      </w:r>
      <w:bookmarkStart w:id="1" w:name="_GoBack"/>
      <w:bookmarkEnd w:id="1"/>
    </w:p>
    <w:sectPr w:rsidR="000B5B5B" w:rsidSect="00F870D2">
      <w:pgSz w:w="12240" w:h="15840"/>
      <w:pgMar w:top="319" w:right="1806" w:bottom="450" w:left="1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72E3"/>
    <w:multiLevelType w:val="hybridMultilevel"/>
    <w:tmpl w:val="9A28737A"/>
    <w:lvl w:ilvl="0" w:tplc="7AB8697E">
      <w:start w:val="1"/>
      <w:numFmt w:val="decimal"/>
      <w:lvlText w:val="%1."/>
      <w:lvlJc w:val="left"/>
      <w:pPr>
        <w:ind w:left="64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B4A155A">
      <w:start w:val="1"/>
      <w:numFmt w:val="lowerLetter"/>
      <w:lvlText w:val="%2"/>
      <w:lvlJc w:val="left"/>
      <w:pPr>
        <w:ind w:left="13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BCADE8A">
      <w:start w:val="1"/>
      <w:numFmt w:val="lowerRoman"/>
      <w:lvlText w:val="%3"/>
      <w:lvlJc w:val="left"/>
      <w:pPr>
        <w:ind w:left="20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091A88D8">
      <w:start w:val="1"/>
      <w:numFmt w:val="decimal"/>
      <w:lvlText w:val="%4"/>
      <w:lvlJc w:val="left"/>
      <w:pPr>
        <w:ind w:left="27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DEE5202">
      <w:start w:val="1"/>
      <w:numFmt w:val="lowerLetter"/>
      <w:lvlText w:val="%5"/>
      <w:lvlJc w:val="left"/>
      <w:pPr>
        <w:ind w:left="35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7A46444">
      <w:start w:val="1"/>
      <w:numFmt w:val="lowerRoman"/>
      <w:lvlText w:val="%6"/>
      <w:lvlJc w:val="left"/>
      <w:pPr>
        <w:ind w:left="42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84873BA">
      <w:start w:val="1"/>
      <w:numFmt w:val="decimal"/>
      <w:lvlText w:val="%7"/>
      <w:lvlJc w:val="left"/>
      <w:pPr>
        <w:ind w:left="49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22AD1CC">
      <w:start w:val="1"/>
      <w:numFmt w:val="lowerLetter"/>
      <w:lvlText w:val="%8"/>
      <w:lvlJc w:val="left"/>
      <w:pPr>
        <w:ind w:left="56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94CA252">
      <w:start w:val="1"/>
      <w:numFmt w:val="lowerRoman"/>
      <w:lvlText w:val="%9"/>
      <w:lvlJc w:val="left"/>
      <w:pPr>
        <w:ind w:left="63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
    <w:nsid w:val="0BDD493A"/>
    <w:multiLevelType w:val="hybridMultilevel"/>
    <w:tmpl w:val="D5BE79A6"/>
    <w:lvl w:ilvl="0" w:tplc="433E34AE">
      <w:start w:val="1"/>
      <w:numFmt w:val="decimal"/>
      <w:lvlText w:val="%1."/>
      <w:lvlJc w:val="left"/>
      <w:pPr>
        <w:ind w:left="7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10593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622163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1A9FDA">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AD27FF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C8582E">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2FCFDF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7329E08">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AE07C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5CCA72BC"/>
    <w:multiLevelType w:val="hybridMultilevel"/>
    <w:tmpl w:val="E130AB6A"/>
    <w:lvl w:ilvl="0" w:tplc="A9D28372">
      <w:start w:val="1"/>
      <w:numFmt w:val="decimal"/>
      <w:lvlText w:val="%1."/>
      <w:lvlJc w:val="left"/>
      <w:pPr>
        <w:ind w:left="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3AECE6E">
      <w:start w:val="1"/>
      <w:numFmt w:val="lowerLetter"/>
      <w:lvlText w:val="%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78B058">
      <w:start w:val="1"/>
      <w:numFmt w:val="lowerRoman"/>
      <w:lvlText w:val="%3"/>
      <w:lvlJc w:val="left"/>
      <w:pPr>
        <w:ind w:left="2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A45906">
      <w:start w:val="1"/>
      <w:numFmt w:val="decimal"/>
      <w:lvlText w:val="%4"/>
      <w:lvlJc w:val="left"/>
      <w:pPr>
        <w:ind w:left="2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6207664">
      <w:start w:val="1"/>
      <w:numFmt w:val="lowerLetter"/>
      <w:lvlText w:val="%5"/>
      <w:lvlJc w:val="left"/>
      <w:pPr>
        <w:ind w:left="3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26C02E">
      <w:start w:val="1"/>
      <w:numFmt w:val="lowerRoman"/>
      <w:lvlText w:val="%6"/>
      <w:lvlJc w:val="left"/>
      <w:pPr>
        <w:ind w:left="4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B4A110">
      <w:start w:val="1"/>
      <w:numFmt w:val="decimal"/>
      <w:lvlText w:val="%7"/>
      <w:lvlJc w:val="left"/>
      <w:pPr>
        <w:ind w:left="5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78CBD6">
      <w:start w:val="1"/>
      <w:numFmt w:val="lowerLetter"/>
      <w:lvlText w:val="%8"/>
      <w:lvlJc w:val="left"/>
      <w:pPr>
        <w:ind w:left="5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076AEE4">
      <w:start w:val="1"/>
      <w:numFmt w:val="lowerRoman"/>
      <w:lvlText w:val="%9"/>
      <w:lvlJc w:val="left"/>
      <w:pPr>
        <w:ind w:left="6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5B"/>
    <w:rsid w:val="000A09D5"/>
    <w:rsid w:val="000A1BCF"/>
    <w:rsid w:val="000B5B5B"/>
    <w:rsid w:val="0011487B"/>
    <w:rsid w:val="001C5AC9"/>
    <w:rsid w:val="00346622"/>
    <w:rsid w:val="0061099C"/>
    <w:rsid w:val="00671430"/>
    <w:rsid w:val="008B47CD"/>
    <w:rsid w:val="009C63E8"/>
    <w:rsid w:val="00B06FA3"/>
    <w:rsid w:val="00B35FFE"/>
    <w:rsid w:val="00CC4A87"/>
    <w:rsid w:val="00D150D2"/>
    <w:rsid w:val="00F870D2"/>
    <w:rsid w:val="00F92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5B1B"/>
  <w15:docId w15:val="{2A5C25F1-5880-4E97-81CC-75062EE5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7" w:lineRule="auto"/>
      <w:ind w:left="406"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dc:creator>
  <cp:keywords/>
  <cp:lastModifiedBy>HUNG HOANG</cp:lastModifiedBy>
  <cp:revision>9</cp:revision>
  <dcterms:created xsi:type="dcterms:W3CDTF">2026-02-27T10:05:00Z</dcterms:created>
  <dcterms:modified xsi:type="dcterms:W3CDTF">2026-03-03T08:48:00Z</dcterms:modified>
</cp:coreProperties>
</file>